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4672FE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Falla </w:t>
            </w:r>
            <w:r w:rsidR="00863D28">
              <w:rPr>
                <w:rFonts w:ascii="Arial" w:hAnsi="Arial" w:cs="Arial"/>
                <w:b/>
                <w:bCs/>
              </w:rPr>
              <w:t>Correo electrónico</w:t>
            </w:r>
            <w:r w:rsidR="000F55A2">
              <w:rPr>
                <w:rFonts w:ascii="Arial" w:hAnsi="Arial" w:cs="Arial"/>
                <w:b/>
                <w:bCs/>
              </w:rPr>
              <w:t>.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3711DC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204" w:rsidTr="003711DC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266422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Falla en </w:t>
            </w:r>
            <w:r w:rsidR="00863D28">
              <w:rPr>
                <w:rFonts w:ascii="Arial" w:hAnsi="Arial" w:cs="Arial"/>
                <w:bCs/>
              </w:rPr>
              <w:t>correo electrónico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711D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3711DC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266422" w:rsidRDefault="00266422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Internet lento o servicio interrumpido.</w:t>
            </w:r>
          </w:p>
          <w:p w:rsidR="00266422" w:rsidRDefault="00863D28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Repositorio de correos lleno</w:t>
            </w:r>
            <w:r w:rsidR="00266422">
              <w:rPr>
                <w:rFonts w:ascii="Arial" w:hAnsi="Arial" w:cs="Arial"/>
                <w:bCs/>
              </w:rPr>
              <w:t>.</w:t>
            </w:r>
          </w:p>
          <w:p w:rsidR="00863D28" w:rsidRPr="00807B68" w:rsidRDefault="00863D28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Servicio de proveedor </w:t>
            </w:r>
            <w:r w:rsidR="00F95732">
              <w:rPr>
                <w:rFonts w:ascii="Arial" w:hAnsi="Arial" w:cs="Arial"/>
                <w:bCs/>
              </w:rPr>
              <w:t>fuera de línea.</w:t>
            </w: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4672FE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Fallas eléctricas</w:t>
            </w:r>
          </w:p>
          <w:p w:rsidR="000F55A2" w:rsidRDefault="00F95732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Falla en la red de datos.</w:t>
            </w:r>
          </w:p>
          <w:p w:rsidR="00F35790" w:rsidRDefault="00F357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F25D67" w:rsidRDefault="00F95732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Afectación a la operatividad del negocio.</w:t>
            </w: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D62D9F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D62D9F" w:rsidRDefault="00D62D9F" w:rsidP="00FC41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0970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3711D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266422" w:rsidTr="003711DC">
        <w:trPr>
          <w:trHeight w:val="287"/>
          <w:jc w:val="center"/>
        </w:trPr>
        <w:tc>
          <w:tcPr>
            <w:tcW w:w="2816" w:type="dxa"/>
          </w:tcPr>
          <w:p w:rsidR="00266422" w:rsidRDefault="00F95732" w:rsidP="00F957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Usuario</w:t>
            </w:r>
          </w:p>
        </w:tc>
        <w:tc>
          <w:tcPr>
            <w:tcW w:w="6534" w:type="dxa"/>
            <w:gridSpan w:val="2"/>
          </w:tcPr>
          <w:p w:rsidR="00266422" w:rsidRDefault="00266422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 que no puede </w:t>
            </w:r>
            <w:r w:rsidR="00F95732">
              <w:rPr>
                <w:rFonts w:ascii="Arial" w:hAnsi="Arial" w:cs="Arial"/>
                <w:bCs/>
              </w:rPr>
              <w:t xml:space="preserve">enviar o recibir correo, o que el </w:t>
            </w:r>
            <w:proofErr w:type="spellStart"/>
            <w:r w:rsidR="00F95732">
              <w:rPr>
                <w:rFonts w:ascii="Arial" w:hAnsi="Arial" w:cs="Arial"/>
                <w:bCs/>
              </w:rPr>
              <w:t>envio</w:t>
            </w:r>
            <w:proofErr w:type="spellEnd"/>
            <w:r w:rsidR="00F95732">
              <w:rPr>
                <w:rFonts w:ascii="Arial" w:hAnsi="Arial" w:cs="Arial"/>
                <w:bCs/>
              </w:rPr>
              <w:t xml:space="preserve"> o recepción es demasiado lento, para lo cual debe tomar en cuenta lo siguiente:</w:t>
            </w:r>
          </w:p>
          <w:p w:rsidR="000F55A2" w:rsidRDefault="00F95732" w:rsidP="0026642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Dirección de correo electrónico de origen o destino</w:t>
            </w:r>
            <w:r w:rsidR="000F55A2">
              <w:rPr>
                <w:rFonts w:ascii="Arial" w:hAnsi="Arial" w:cs="Arial"/>
                <w:bCs/>
              </w:rPr>
              <w:t>.</w:t>
            </w:r>
          </w:p>
          <w:p w:rsidR="00F95732" w:rsidRDefault="00F95732" w:rsidP="0026642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Tamaño del archivo a enviar o recibir.</w:t>
            </w:r>
          </w:p>
          <w:p w:rsidR="00F95732" w:rsidRDefault="00F95732" w:rsidP="0026642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Tipo de archivo a enviar o recibir.</w:t>
            </w:r>
          </w:p>
          <w:p w:rsidR="00F95732" w:rsidRDefault="00F95732" w:rsidP="0026642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Red o modem a donde se está conectado, aparece en la parte inferior de la pantalla.</w:t>
            </w:r>
          </w:p>
          <w:p w:rsidR="00F95732" w:rsidRPr="00F95732" w:rsidRDefault="00F95732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Envía al Gerente de Sistemas por comunicación telefónica y/o </w:t>
            </w:r>
            <w:proofErr w:type="spellStart"/>
            <w:r>
              <w:rPr>
                <w:rFonts w:ascii="Arial" w:hAnsi="Arial" w:cs="Arial"/>
                <w:bCs/>
              </w:rPr>
              <w:t>whatsup</w:t>
            </w:r>
            <w:proofErr w:type="spellEnd"/>
            <w:r>
              <w:rPr>
                <w:rFonts w:ascii="Arial" w:hAnsi="Arial" w:cs="Arial"/>
                <w:bCs/>
              </w:rPr>
              <w:t xml:space="preserve"> detalles de la falla.</w:t>
            </w:r>
          </w:p>
        </w:tc>
      </w:tr>
      <w:tr w:rsidR="005A507F" w:rsidTr="003711DC">
        <w:trPr>
          <w:trHeight w:val="287"/>
          <w:jc w:val="center"/>
        </w:trPr>
        <w:tc>
          <w:tcPr>
            <w:tcW w:w="2816" w:type="dxa"/>
          </w:tcPr>
          <w:p w:rsidR="005A507F" w:rsidRPr="00FC4108" w:rsidRDefault="00293F34" w:rsidP="005D70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Sistemas</w:t>
            </w:r>
          </w:p>
        </w:tc>
        <w:tc>
          <w:tcPr>
            <w:tcW w:w="6534" w:type="dxa"/>
            <w:gridSpan w:val="2"/>
          </w:tcPr>
          <w:p w:rsidR="00F0752A" w:rsidRDefault="00266422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Verifica la dimensión de la falla, si es </w:t>
            </w:r>
            <w:r w:rsidR="000F55A2">
              <w:rPr>
                <w:rFonts w:ascii="Arial" w:hAnsi="Arial" w:cs="Arial"/>
                <w:bCs/>
              </w:rPr>
              <w:t xml:space="preserve">únicamente </w:t>
            </w:r>
            <w:r>
              <w:rPr>
                <w:rFonts w:ascii="Arial" w:hAnsi="Arial" w:cs="Arial"/>
                <w:bCs/>
              </w:rPr>
              <w:t xml:space="preserve">con </w:t>
            </w:r>
            <w:r w:rsidR="000F55A2">
              <w:rPr>
                <w:rFonts w:ascii="Arial" w:hAnsi="Arial" w:cs="Arial"/>
                <w:bCs/>
              </w:rPr>
              <w:t>un</w:t>
            </w:r>
            <w:r>
              <w:rPr>
                <w:rFonts w:ascii="Arial" w:hAnsi="Arial" w:cs="Arial"/>
                <w:bCs/>
              </w:rPr>
              <w:t xml:space="preserve"> usuario</w:t>
            </w:r>
            <w:r w:rsidR="000F55A2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a nivel oficina o general.</w:t>
            </w:r>
          </w:p>
          <w:p w:rsidR="00F95732" w:rsidRDefault="005D70CB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la falla es a nivel usuario, revisa las condiciones del equipo, conexión eléctrica, conexión a red de datos, posibilidad de contagio de virus, información </w:t>
            </w:r>
            <w:r w:rsidR="00F95732">
              <w:rPr>
                <w:rFonts w:ascii="Arial" w:hAnsi="Arial" w:cs="Arial"/>
                <w:bCs/>
              </w:rPr>
              <w:t>que se pretende transmitir</w:t>
            </w:r>
            <w:r>
              <w:rPr>
                <w:rFonts w:ascii="Arial" w:hAnsi="Arial" w:cs="Arial"/>
                <w:bCs/>
              </w:rPr>
              <w:t xml:space="preserve">, </w:t>
            </w:r>
            <w:r w:rsidR="00F95732">
              <w:rPr>
                <w:rFonts w:ascii="Arial" w:hAnsi="Arial" w:cs="Arial"/>
                <w:bCs/>
              </w:rPr>
              <w:t xml:space="preserve">tamaño de buzón asignado, tamaño de archivo </w:t>
            </w:r>
            <w:proofErr w:type="spellStart"/>
            <w:r w:rsidR="00F95732">
              <w:rPr>
                <w:rFonts w:ascii="Arial" w:hAnsi="Arial" w:cs="Arial"/>
                <w:bCs/>
              </w:rPr>
              <w:t>pst</w:t>
            </w:r>
            <w:proofErr w:type="spellEnd"/>
            <w:r w:rsidR="00F95732">
              <w:rPr>
                <w:rFonts w:ascii="Arial" w:hAnsi="Arial" w:cs="Arial"/>
                <w:bCs/>
              </w:rPr>
              <w:t xml:space="preserve"> (Repositorio local de correo).</w:t>
            </w:r>
          </w:p>
          <w:p w:rsidR="005D70CB" w:rsidRPr="00C337CE" w:rsidRDefault="005D70CB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la falla se encuentra entre estas posibilidade</w:t>
            </w:r>
            <w:r w:rsidR="00F95732">
              <w:rPr>
                <w:rFonts w:ascii="Arial" w:hAnsi="Arial" w:cs="Arial"/>
                <w:bCs/>
              </w:rPr>
              <w:t xml:space="preserve">s, la corrige depurando el correo en el servidor, creando un nuevo archivo </w:t>
            </w:r>
            <w:proofErr w:type="spellStart"/>
            <w:r w:rsidR="00F95732">
              <w:rPr>
                <w:rFonts w:ascii="Arial" w:hAnsi="Arial" w:cs="Arial"/>
                <w:bCs/>
              </w:rPr>
              <w:t>pst</w:t>
            </w:r>
            <w:proofErr w:type="spellEnd"/>
            <w:r>
              <w:rPr>
                <w:rFonts w:ascii="Arial" w:hAnsi="Arial" w:cs="Arial"/>
                <w:bCs/>
              </w:rPr>
              <w:t xml:space="preserve">, reconectando a los servicios eléctricos o de datos, eliminando el virus, señalando al usuario </w:t>
            </w:r>
            <w:r w:rsidR="00F95732">
              <w:rPr>
                <w:rFonts w:ascii="Arial" w:hAnsi="Arial" w:cs="Arial"/>
                <w:bCs/>
              </w:rPr>
              <w:t>que tipo de archivos se pueden transmitir y el tamaño autorizado.</w:t>
            </w:r>
          </w:p>
        </w:tc>
      </w:tr>
      <w:tr w:rsidR="005D70CB" w:rsidTr="00B27EE5">
        <w:trPr>
          <w:trHeight w:val="287"/>
          <w:jc w:val="center"/>
        </w:trPr>
        <w:tc>
          <w:tcPr>
            <w:tcW w:w="2816" w:type="dxa"/>
          </w:tcPr>
          <w:p w:rsidR="005D70CB" w:rsidRPr="00FC4108" w:rsidRDefault="005D70CB" w:rsidP="00B27E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Sistemas</w:t>
            </w:r>
          </w:p>
        </w:tc>
        <w:tc>
          <w:tcPr>
            <w:tcW w:w="6534" w:type="dxa"/>
            <w:gridSpan w:val="2"/>
          </w:tcPr>
          <w:p w:rsidR="005D70CB" w:rsidRDefault="005D70CB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la</w:t>
            </w:r>
            <w:r w:rsidR="00F95732">
              <w:rPr>
                <w:rFonts w:ascii="Arial" w:hAnsi="Arial" w:cs="Arial"/>
                <w:bCs/>
              </w:rPr>
              <w:t xml:space="preserve"> falla persiste a nivel usuario, </w:t>
            </w:r>
            <w:r>
              <w:rPr>
                <w:rFonts w:ascii="Arial" w:hAnsi="Arial" w:cs="Arial"/>
                <w:bCs/>
              </w:rPr>
              <w:t xml:space="preserve">el Gerente de Sistemas debe buscar </w:t>
            </w:r>
            <w:r w:rsidR="00F95732">
              <w:rPr>
                <w:rFonts w:ascii="Arial" w:hAnsi="Arial" w:cs="Arial"/>
                <w:bCs/>
              </w:rPr>
              <w:t xml:space="preserve">al proveedor del servicio de correo electrónico. </w:t>
            </w:r>
            <w:proofErr w:type="gramStart"/>
            <w:r w:rsidR="00FA1CA8">
              <w:rPr>
                <w:rFonts w:ascii="Arial" w:hAnsi="Arial" w:cs="Arial"/>
                <w:bCs/>
              </w:rPr>
              <w:t>para</w:t>
            </w:r>
            <w:proofErr w:type="gramEnd"/>
            <w:r w:rsidR="00FA1CA8">
              <w:rPr>
                <w:rFonts w:ascii="Arial" w:hAnsi="Arial" w:cs="Arial"/>
                <w:bCs/>
              </w:rPr>
              <w:t xml:space="preserve"> reportar la falla y obtener la asesoría y solución conforme a cada caso.</w:t>
            </w:r>
          </w:p>
          <w:p w:rsidR="00F95732" w:rsidRPr="00C337CE" w:rsidRDefault="00F95732" w:rsidP="00F9573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D70CB" w:rsidTr="003711DC">
        <w:trPr>
          <w:jc w:val="center"/>
        </w:trPr>
        <w:tc>
          <w:tcPr>
            <w:tcW w:w="2816" w:type="dxa"/>
          </w:tcPr>
          <w:p w:rsidR="005D70CB" w:rsidRDefault="00FA1CA8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Gerente de Sistemas</w:t>
            </w:r>
          </w:p>
        </w:tc>
        <w:tc>
          <w:tcPr>
            <w:tcW w:w="6534" w:type="dxa"/>
            <w:gridSpan w:val="2"/>
          </w:tcPr>
          <w:p w:rsidR="005D70CB" w:rsidRDefault="00FA1CA8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la falla es a nivel oficina, se considera como una falla crítica y valida las siguientes posibles causas:</w:t>
            </w:r>
          </w:p>
          <w:p w:rsidR="00F95732" w:rsidRDefault="00EB6748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F95732">
              <w:rPr>
                <w:rFonts w:ascii="Arial" w:hAnsi="Arial" w:cs="Arial"/>
                <w:bCs/>
              </w:rPr>
              <w:t xml:space="preserve">as condiciones del equipo, conexión eléctrica, conexión a red de datos, posibilidad de contagio de virus, información que se pretende transmitir, tamaño de buzón asignado, tamaño de archivo </w:t>
            </w:r>
            <w:proofErr w:type="spellStart"/>
            <w:r w:rsidR="00F95732">
              <w:rPr>
                <w:rFonts w:ascii="Arial" w:hAnsi="Arial" w:cs="Arial"/>
                <w:bCs/>
              </w:rPr>
              <w:t>pst</w:t>
            </w:r>
            <w:proofErr w:type="spellEnd"/>
            <w:r w:rsidR="00F95732">
              <w:rPr>
                <w:rFonts w:ascii="Arial" w:hAnsi="Arial" w:cs="Arial"/>
                <w:bCs/>
              </w:rPr>
              <w:t xml:space="preserve"> (Repositorio local de correo).</w:t>
            </w:r>
          </w:p>
          <w:p w:rsidR="00EB6748" w:rsidRDefault="00F95732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la falla se encuentra entre estas posibilidades, la corrige depurando el correo en el servidor, creando un nuevo archivo </w:t>
            </w:r>
            <w:proofErr w:type="spellStart"/>
            <w:r>
              <w:rPr>
                <w:rFonts w:ascii="Arial" w:hAnsi="Arial" w:cs="Arial"/>
                <w:bCs/>
              </w:rPr>
              <w:t>pst</w:t>
            </w:r>
            <w:proofErr w:type="spellEnd"/>
            <w:r>
              <w:rPr>
                <w:rFonts w:ascii="Arial" w:hAnsi="Arial" w:cs="Arial"/>
                <w:bCs/>
              </w:rPr>
              <w:t>, reconectando a los servicios eléctricos o de datos, eliminando el virus, señalando al usuario que tipo de archivos se pueden transmitir y el tamaño autorizado.</w:t>
            </w:r>
          </w:p>
          <w:p w:rsidR="00FA1CA8" w:rsidRDefault="000F55A2" w:rsidP="00F957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caso de que la falla en la red 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de datos provenga del proveedor del servicio, </w:t>
            </w:r>
            <w:r>
              <w:rPr>
                <w:rFonts w:ascii="Arial" w:hAnsi="Arial" w:cs="Arial"/>
                <w:bCs/>
              </w:rPr>
              <w:t>habilitar el canal de comunicación de respaldo considerando que el servicio primario se obtiene por TELMEX y el servicio secundario por parte de otro operador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FA1CA8" w:rsidTr="003711DC">
        <w:trPr>
          <w:jc w:val="center"/>
        </w:trPr>
        <w:tc>
          <w:tcPr>
            <w:tcW w:w="2816" w:type="dxa"/>
          </w:tcPr>
          <w:p w:rsidR="00FA1CA8" w:rsidRDefault="00FA1CA8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Sistemas</w:t>
            </w:r>
          </w:p>
        </w:tc>
        <w:tc>
          <w:tcPr>
            <w:tcW w:w="6534" w:type="dxa"/>
            <w:gridSpan w:val="2"/>
          </w:tcPr>
          <w:p w:rsidR="00FA1CA8" w:rsidRDefault="00FA1CA8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la falla a nivel oficina persiste, escala la problemática con los proveedores de conexión de datos </w:t>
            </w:r>
            <w:r w:rsidR="00EB6748">
              <w:rPr>
                <w:rFonts w:ascii="Arial" w:hAnsi="Arial" w:cs="Arial"/>
                <w:bCs/>
              </w:rPr>
              <w:t xml:space="preserve">(TELMEX o proveedor secundario) </w:t>
            </w:r>
            <w:r>
              <w:rPr>
                <w:rFonts w:ascii="Arial" w:hAnsi="Arial" w:cs="Arial"/>
                <w:bCs/>
              </w:rPr>
              <w:t>señalando el problema y los detalles que permita su análisis y solución.</w:t>
            </w:r>
          </w:p>
          <w:p w:rsidR="00FA1CA8" w:rsidRDefault="00FA1CA8" w:rsidP="00FA1C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Dar seguimiento por correo electrónico y por teléfono hasta su solución.</w:t>
            </w:r>
          </w:p>
          <w:p w:rsidR="00FA1CA8" w:rsidRDefault="00FA1CA8" w:rsidP="00FA1C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Deberá notificar al Agente Aduanal de la falla que se presenta, hora de inicio y en su caso de </w:t>
            </w:r>
            <w:proofErr w:type="spellStart"/>
            <w:r>
              <w:rPr>
                <w:rFonts w:ascii="Arial" w:hAnsi="Arial" w:cs="Arial"/>
                <w:bCs/>
              </w:rPr>
              <w:t>solventación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:rsidR="000F55A2" w:rsidRDefault="000F55A2" w:rsidP="00FA1C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el caso de falla en el servicio de internet, independientemente de habilitar al proveedor de respaldo, se deberá dar seguimiento hasta poder habilitar al proveedor principal del servicio.</w:t>
            </w:r>
          </w:p>
        </w:tc>
      </w:tr>
      <w:tr w:rsidR="00FA1CA8" w:rsidTr="00B27EE5">
        <w:trPr>
          <w:jc w:val="center"/>
        </w:trPr>
        <w:tc>
          <w:tcPr>
            <w:tcW w:w="2816" w:type="dxa"/>
          </w:tcPr>
          <w:p w:rsidR="00FA1CA8" w:rsidRDefault="00FA1CA8" w:rsidP="00B27E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Sistemas</w:t>
            </w:r>
          </w:p>
        </w:tc>
        <w:tc>
          <w:tcPr>
            <w:tcW w:w="6534" w:type="dxa"/>
            <w:gridSpan w:val="2"/>
          </w:tcPr>
          <w:p w:rsidR="00FA1CA8" w:rsidRDefault="00FA1CA8" w:rsidP="00B27E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la falla es a nivel general, se considera como una falla grave y crítica y valida las siguientes posibles causas:</w:t>
            </w:r>
          </w:p>
          <w:p w:rsidR="00EB6748" w:rsidRDefault="00EB6748" w:rsidP="00EB67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evisa las condiciones del equipo, conexión eléctrica, conexión a red de datos, posibilidad de contagio de virus, información que se pretende</w:t>
            </w:r>
            <w:r>
              <w:rPr>
                <w:rFonts w:ascii="Arial" w:hAnsi="Arial" w:cs="Arial"/>
                <w:bCs/>
              </w:rPr>
              <w:t xml:space="preserve"> transmitir</w:t>
            </w:r>
            <w:r>
              <w:rPr>
                <w:rFonts w:ascii="Arial" w:hAnsi="Arial" w:cs="Arial"/>
                <w:bCs/>
              </w:rPr>
              <w:t>.</w:t>
            </w:r>
          </w:p>
          <w:p w:rsidR="00EB6748" w:rsidRDefault="00EB6748" w:rsidP="00EB67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la falla se encuentra entre estas posibilidades, la corrige depurando el correo en el servidor, creando un nuevo archivo </w:t>
            </w:r>
            <w:proofErr w:type="spellStart"/>
            <w:r>
              <w:rPr>
                <w:rFonts w:ascii="Arial" w:hAnsi="Arial" w:cs="Arial"/>
                <w:bCs/>
              </w:rPr>
              <w:t>pst</w:t>
            </w:r>
            <w:proofErr w:type="spellEnd"/>
            <w:r>
              <w:rPr>
                <w:rFonts w:ascii="Arial" w:hAnsi="Arial" w:cs="Arial"/>
                <w:bCs/>
              </w:rPr>
              <w:t>, reconectando a los servicios eléctricos o de datos, eliminando el virus, señalando al usuario que tipo de archivos se pueden transmitir.</w:t>
            </w:r>
          </w:p>
          <w:p w:rsidR="0047437D" w:rsidRDefault="000F55A2" w:rsidP="00B27E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caso de que la falla en la red de datos provenga del proveedor del servicio, habilitar el </w:t>
            </w:r>
            <w:r>
              <w:rPr>
                <w:rFonts w:ascii="Arial" w:hAnsi="Arial" w:cs="Arial"/>
                <w:bCs/>
              </w:rPr>
              <w:t xml:space="preserve">canal de comunicación de </w:t>
            </w:r>
            <w:r>
              <w:rPr>
                <w:rFonts w:ascii="Arial" w:hAnsi="Arial" w:cs="Arial"/>
                <w:bCs/>
              </w:rPr>
              <w:t>respaldo considerando que el servicio primario se obtiene por TELMEX y el servicio secund</w:t>
            </w:r>
            <w:r w:rsidR="00EB6748">
              <w:rPr>
                <w:rFonts w:ascii="Arial" w:hAnsi="Arial" w:cs="Arial"/>
                <w:bCs/>
              </w:rPr>
              <w:t>ario por parte de otro operador</w:t>
            </w:r>
            <w:r w:rsidR="0047437D">
              <w:rPr>
                <w:rFonts w:ascii="Arial" w:hAnsi="Arial" w:cs="Arial"/>
                <w:bCs/>
              </w:rPr>
              <w:t>.</w:t>
            </w:r>
          </w:p>
        </w:tc>
      </w:tr>
      <w:tr w:rsidR="00FA1CA8" w:rsidTr="00B27EE5">
        <w:trPr>
          <w:jc w:val="center"/>
        </w:trPr>
        <w:tc>
          <w:tcPr>
            <w:tcW w:w="2816" w:type="dxa"/>
          </w:tcPr>
          <w:p w:rsidR="00FA1CA8" w:rsidRDefault="00FA1CA8" w:rsidP="00B27E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Sistemas</w:t>
            </w:r>
          </w:p>
        </w:tc>
        <w:tc>
          <w:tcPr>
            <w:tcW w:w="6534" w:type="dxa"/>
            <w:gridSpan w:val="2"/>
          </w:tcPr>
          <w:p w:rsidR="0047437D" w:rsidRDefault="00FA1CA8" w:rsidP="00B27E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la falla a nivel </w:t>
            </w:r>
            <w:r w:rsidR="0047437D">
              <w:rPr>
                <w:rFonts w:ascii="Arial" w:hAnsi="Arial" w:cs="Arial"/>
                <w:bCs/>
              </w:rPr>
              <w:t>general</w:t>
            </w:r>
            <w:r>
              <w:rPr>
                <w:rFonts w:ascii="Arial" w:hAnsi="Arial" w:cs="Arial"/>
                <w:bCs/>
              </w:rPr>
              <w:t xml:space="preserve"> persiste, escala la problemática con los proveedores de conexión de datos o del </w:t>
            </w:r>
            <w:r w:rsidR="00EB6748">
              <w:rPr>
                <w:rFonts w:ascii="Arial" w:hAnsi="Arial" w:cs="Arial"/>
                <w:bCs/>
              </w:rPr>
              <w:t>proveedor de correo electrónico</w:t>
            </w:r>
            <w:r w:rsidR="0047437D">
              <w:rPr>
                <w:rFonts w:ascii="Arial" w:hAnsi="Arial" w:cs="Arial"/>
                <w:bCs/>
              </w:rPr>
              <w:t>.</w:t>
            </w:r>
          </w:p>
          <w:p w:rsidR="00FA1CA8" w:rsidRDefault="00FA1CA8" w:rsidP="00B27E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Dar seguimiento por correo electrónico y por teléfono hasta su solución.</w:t>
            </w:r>
          </w:p>
          <w:p w:rsidR="000F55A2" w:rsidRDefault="000F55A2" w:rsidP="00B27E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el caso de falla en el servicio de internet, independientemente de habilitar al proveedor de respaldo, se deberá dar seguimiento hasta poder habilitar al proveedor principal del servicio.</w:t>
            </w:r>
          </w:p>
        </w:tc>
      </w:tr>
      <w:tr w:rsidR="00D33DA6" w:rsidTr="00B27EE5">
        <w:trPr>
          <w:jc w:val="center"/>
        </w:trPr>
        <w:tc>
          <w:tcPr>
            <w:tcW w:w="2816" w:type="dxa"/>
          </w:tcPr>
          <w:p w:rsidR="00D33DA6" w:rsidRDefault="00D33DA6" w:rsidP="00B27E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sistemas</w:t>
            </w:r>
          </w:p>
        </w:tc>
        <w:tc>
          <w:tcPr>
            <w:tcW w:w="6534" w:type="dxa"/>
            <w:gridSpan w:val="2"/>
          </w:tcPr>
          <w:p w:rsidR="00D33DA6" w:rsidRDefault="00D33DA6" w:rsidP="00EB67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debe considerar como un evento diferenciado, el hecho de que el sistema</w:t>
            </w:r>
            <w:r w:rsidR="00493CB9">
              <w:rPr>
                <w:rFonts w:ascii="Arial" w:hAnsi="Arial" w:cs="Arial"/>
                <w:bCs/>
              </w:rPr>
              <w:t xml:space="preserve"> puede ser </w:t>
            </w:r>
            <w:proofErr w:type="spellStart"/>
            <w:r w:rsidR="00493CB9">
              <w:rPr>
                <w:rFonts w:ascii="Arial" w:hAnsi="Arial" w:cs="Arial"/>
                <w:bCs/>
              </w:rPr>
              <w:t>hackeado</w:t>
            </w:r>
            <w:proofErr w:type="spellEnd"/>
            <w:r w:rsidR="00493CB9">
              <w:rPr>
                <w:rFonts w:ascii="Arial" w:hAnsi="Arial" w:cs="Arial"/>
                <w:bCs/>
              </w:rPr>
              <w:t xml:space="preserve">, en este caso, deberá reportarse al Agente Aduanal, </w:t>
            </w:r>
            <w:r w:rsidR="00EB6748">
              <w:rPr>
                <w:rFonts w:ascii="Arial" w:hAnsi="Arial" w:cs="Arial"/>
                <w:bCs/>
              </w:rPr>
              <w:t xml:space="preserve">y al proveedor de correo electrónico, </w:t>
            </w:r>
            <w:r w:rsidR="00493CB9">
              <w:rPr>
                <w:rFonts w:ascii="Arial" w:hAnsi="Arial" w:cs="Arial"/>
                <w:bCs/>
              </w:rPr>
              <w:t>Se debe valorar la posibilidad de tener que comprar software especializado para la recuperación de la información.</w:t>
            </w:r>
          </w:p>
        </w:tc>
      </w:tr>
      <w:tr w:rsidR="0047437D" w:rsidTr="00B27EE5">
        <w:trPr>
          <w:jc w:val="center"/>
        </w:trPr>
        <w:tc>
          <w:tcPr>
            <w:tcW w:w="2816" w:type="dxa"/>
          </w:tcPr>
          <w:p w:rsidR="0047437D" w:rsidRDefault="0047437D" w:rsidP="00B27E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Sistemas</w:t>
            </w:r>
          </w:p>
        </w:tc>
        <w:tc>
          <w:tcPr>
            <w:tcW w:w="6534" w:type="dxa"/>
            <w:gridSpan w:val="2"/>
          </w:tcPr>
          <w:p w:rsidR="0047437D" w:rsidRDefault="0047437D" w:rsidP="00B27E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 final del evento, notifica por correo electrónico la </w:t>
            </w:r>
            <w:proofErr w:type="spellStart"/>
            <w:r>
              <w:rPr>
                <w:rFonts w:ascii="Arial" w:hAnsi="Arial" w:cs="Arial"/>
                <w:bCs/>
              </w:rPr>
              <w:t>solventación</w:t>
            </w:r>
            <w:proofErr w:type="spellEnd"/>
            <w:r>
              <w:rPr>
                <w:rFonts w:ascii="Arial" w:hAnsi="Arial" w:cs="Arial"/>
                <w:bCs/>
              </w:rPr>
              <w:t xml:space="preserve"> a la problemática presentada.</w:t>
            </w:r>
          </w:p>
        </w:tc>
      </w:tr>
      <w:tr w:rsidR="0047437D" w:rsidTr="00B27EE5">
        <w:trPr>
          <w:jc w:val="center"/>
        </w:trPr>
        <w:tc>
          <w:tcPr>
            <w:tcW w:w="2816" w:type="dxa"/>
          </w:tcPr>
          <w:p w:rsidR="0047437D" w:rsidRDefault="0047437D" w:rsidP="00B27E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Usuario</w:t>
            </w:r>
          </w:p>
        </w:tc>
        <w:tc>
          <w:tcPr>
            <w:tcW w:w="6534" w:type="dxa"/>
            <w:gridSpan w:val="2"/>
          </w:tcPr>
          <w:p w:rsidR="0047437D" w:rsidRDefault="0047437D" w:rsidP="00B27E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Revisa la disponibilidad de la continuidad operativa y confirma reinicio de operación.</w:t>
            </w:r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E4DBF"/>
    <w:multiLevelType w:val="hybridMultilevel"/>
    <w:tmpl w:val="AA064A80"/>
    <w:lvl w:ilvl="0" w:tplc="34BEA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50B1"/>
    <w:rsid w:val="00084ADC"/>
    <w:rsid w:val="000F55A2"/>
    <w:rsid w:val="000F567E"/>
    <w:rsid w:val="00152361"/>
    <w:rsid w:val="00170970"/>
    <w:rsid w:val="001836A2"/>
    <w:rsid w:val="00201B70"/>
    <w:rsid w:val="002055BD"/>
    <w:rsid w:val="00266422"/>
    <w:rsid w:val="00292B3F"/>
    <w:rsid w:val="00293F34"/>
    <w:rsid w:val="002C6567"/>
    <w:rsid w:val="002F3B2C"/>
    <w:rsid w:val="00300893"/>
    <w:rsid w:val="00332D91"/>
    <w:rsid w:val="00354099"/>
    <w:rsid w:val="00355E97"/>
    <w:rsid w:val="003711DC"/>
    <w:rsid w:val="003B1DA8"/>
    <w:rsid w:val="003C588B"/>
    <w:rsid w:val="004027BA"/>
    <w:rsid w:val="004077C2"/>
    <w:rsid w:val="004378F3"/>
    <w:rsid w:val="004672FE"/>
    <w:rsid w:val="0047437D"/>
    <w:rsid w:val="00481D3F"/>
    <w:rsid w:val="00490F41"/>
    <w:rsid w:val="00493CB9"/>
    <w:rsid w:val="00494A4C"/>
    <w:rsid w:val="004F3D8C"/>
    <w:rsid w:val="00513397"/>
    <w:rsid w:val="00565263"/>
    <w:rsid w:val="005A1D51"/>
    <w:rsid w:val="005A507F"/>
    <w:rsid w:val="005D32EB"/>
    <w:rsid w:val="005D70CB"/>
    <w:rsid w:val="005F36F0"/>
    <w:rsid w:val="0060434D"/>
    <w:rsid w:val="00614251"/>
    <w:rsid w:val="00625FE7"/>
    <w:rsid w:val="006B183A"/>
    <w:rsid w:val="006D1920"/>
    <w:rsid w:val="00701B37"/>
    <w:rsid w:val="00736B77"/>
    <w:rsid w:val="00771BBC"/>
    <w:rsid w:val="00807B68"/>
    <w:rsid w:val="008234AB"/>
    <w:rsid w:val="0084723E"/>
    <w:rsid w:val="00863D28"/>
    <w:rsid w:val="00884B6C"/>
    <w:rsid w:val="008867F8"/>
    <w:rsid w:val="008C4F4D"/>
    <w:rsid w:val="008C66CA"/>
    <w:rsid w:val="008D28C5"/>
    <w:rsid w:val="00910614"/>
    <w:rsid w:val="00917230"/>
    <w:rsid w:val="009200AF"/>
    <w:rsid w:val="009B5A02"/>
    <w:rsid w:val="00A24307"/>
    <w:rsid w:val="00A36FDC"/>
    <w:rsid w:val="00AA1437"/>
    <w:rsid w:val="00AC3A4B"/>
    <w:rsid w:val="00AD712E"/>
    <w:rsid w:val="00AF368D"/>
    <w:rsid w:val="00AF5017"/>
    <w:rsid w:val="00B37BBC"/>
    <w:rsid w:val="00B44BE9"/>
    <w:rsid w:val="00B6541D"/>
    <w:rsid w:val="00BC1BDE"/>
    <w:rsid w:val="00BE68D6"/>
    <w:rsid w:val="00C0621D"/>
    <w:rsid w:val="00C337CE"/>
    <w:rsid w:val="00C94ED5"/>
    <w:rsid w:val="00C95FE9"/>
    <w:rsid w:val="00CC7124"/>
    <w:rsid w:val="00CE19C9"/>
    <w:rsid w:val="00CF1C87"/>
    <w:rsid w:val="00CF3EBF"/>
    <w:rsid w:val="00D2678A"/>
    <w:rsid w:val="00D2735B"/>
    <w:rsid w:val="00D33DA6"/>
    <w:rsid w:val="00D34F90"/>
    <w:rsid w:val="00D4307D"/>
    <w:rsid w:val="00D62D9F"/>
    <w:rsid w:val="00D844DC"/>
    <w:rsid w:val="00D91039"/>
    <w:rsid w:val="00DB3D4D"/>
    <w:rsid w:val="00DB702A"/>
    <w:rsid w:val="00DD52F8"/>
    <w:rsid w:val="00DE47F7"/>
    <w:rsid w:val="00DF0B94"/>
    <w:rsid w:val="00E24AE0"/>
    <w:rsid w:val="00E528E8"/>
    <w:rsid w:val="00EA3AD9"/>
    <w:rsid w:val="00EB6748"/>
    <w:rsid w:val="00F0752A"/>
    <w:rsid w:val="00F23CE5"/>
    <w:rsid w:val="00F25D67"/>
    <w:rsid w:val="00F35790"/>
    <w:rsid w:val="00F5435D"/>
    <w:rsid w:val="00F5516E"/>
    <w:rsid w:val="00F66DF4"/>
    <w:rsid w:val="00F70526"/>
    <w:rsid w:val="00F868E8"/>
    <w:rsid w:val="00F95732"/>
    <w:rsid w:val="00F97547"/>
    <w:rsid w:val="00FA1CA8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664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7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A413-44D3-4B18-A1E5-DF7AB81F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Alejandro Yescas</cp:lastModifiedBy>
  <cp:revision>3</cp:revision>
  <cp:lastPrinted>2017-03-30T15:44:00Z</cp:lastPrinted>
  <dcterms:created xsi:type="dcterms:W3CDTF">2017-05-04T21:00:00Z</dcterms:created>
  <dcterms:modified xsi:type="dcterms:W3CDTF">2017-05-04T21:29:00Z</dcterms:modified>
</cp:coreProperties>
</file>